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345F5" w14:textId="77777777" w:rsidR="003B20F3" w:rsidRPr="003B20F3" w:rsidRDefault="003B20F3" w:rsidP="003B20F3">
      <w:pPr>
        <w:spacing w:line="360" w:lineRule="auto"/>
        <w:ind w:firstLine="567"/>
        <w:jc w:val="right"/>
        <w:rPr>
          <w:bCs/>
          <w:sz w:val="28"/>
          <w:szCs w:val="28"/>
        </w:rPr>
      </w:pPr>
      <w:bookmarkStart w:id="0" w:name="_GoBack"/>
      <w:bookmarkEnd w:id="0"/>
      <w:r w:rsidRPr="003B20F3">
        <w:rPr>
          <w:bCs/>
          <w:sz w:val="28"/>
          <w:szCs w:val="28"/>
        </w:rPr>
        <w:t>Приложение</w:t>
      </w:r>
    </w:p>
    <w:p w14:paraId="4B3F8B97" w14:textId="77777777" w:rsidR="003B20F3" w:rsidRPr="003B20F3" w:rsidRDefault="003B20F3" w:rsidP="003B20F3">
      <w:pPr>
        <w:spacing w:line="360" w:lineRule="auto"/>
        <w:ind w:firstLine="567"/>
        <w:jc w:val="right"/>
        <w:rPr>
          <w:bCs/>
          <w:sz w:val="28"/>
          <w:szCs w:val="28"/>
        </w:rPr>
      </w:pPr>
      <w:r w:rsidRPr="003B20F3">
        <w:rPr>
          <w:bCs/>
          <w:sz w:val="28"/>
          <w:szCs w:val="28"/>
        </w:rPr>
        <w:t>к постановлению  администрации</w:t>
      </w:r>
    </w:p>
    <w:p w14:paraId="5FDAF38C" w14:textId="77777777" w:rsidR="003B20F3" w:rsidRPr="003B20F3" w:rsidRDefault="003B20F3" w:rsidP="003B20F3">
      <w:pPr>
        <w:spacing w:line="360" w:lineRule="auto"/>
        <w:ind w:firstLine="567"/>
        <w:jc w:val="right"/>
        <w:rPr>
          <w:bCs/>
          <w:sz w:val="28"/>
          <w:szCs w:val="28"/>
        </w:rPr>
      </w:pPr>
      <w:r w:rsidRPr="003B20F3">
        <w:rPr>
          <w:bCs/>
          <w:sz w:val="28"/>
          <w:szCs w:val="28"/>
        </w:rPr>
        <w:t>Грибановского муниципального района</w:t>
      </w:r>
    </w:p>
    <w:p w14:paraId="6DBE3DF0" w14:textId="77777777" w:rsidR="003B20F3" w:rsidRPr="003B20F3" w:rsidRDefault="003B20F3" w:rsidP="003B20F3">
      <w:pPr>
        <w:spacing w:line="360" w:lineRule="auto"/>
        <w:ind w:firstLine="567"/>
        <w:jc w:val="right"/>
        <w:rPr>
          <w:bCs/>
          <w:sz w:val="28"/>
          <w:szCs w:val="28"/>
        </w:rPr>
      </w:pPr>
      <w:r w:rsidRPr="003B20F3">
        <w:rPr>
          <w:bCs/>
          <w:sz w:val="28"/>
          <w:szCs w:val="28"/>
        </w:rPr>
        <w:t>Воронежской области</w:t>
      </w:r>
    </w:p>
    <w:p w14:paraId="75D82846" w14:textId="476FC507" w:rsidR="003B20F3" w:rsidRDefault="003B20F3" w:rsidP="003B20F3">
      <w:pPr>
        <w:spacing w:line="36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="00F72571">
        <w:rPr>
          <w:bCs/>
          <w:sz w:val="28"/>
          <w:szCs w:val="28"/>
        </w:rPr>
        <w:t xml:space="preserve">    </w:t>
      </w:r>
      <w:r w:rsidRPr="003B20F3">
        <w:rPr>
          <w:bCs/>
          <w:sz w:val="28"/>
          <w:szCs w:val="28"/>
        </w:rPr>
        <w:t xml:space="preserve">от </w:t>
      </w:r>
      <w:r w:rsidR="00F72571">
        <w:rPr>
          <w:bCs/>
          <w:sz w:val="28"/>
          <w:szCs w:val="28"/>
        </w:rPr>
        <w:t>12.12</w:t>
      </w:r>
      <w:r w:rsidRPr="003B20F3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 xml:space="preserve">3 </w:t>
      </w:r>
      <w:r w:rsidRPr="003B20F3">
        <w:rPr>
          <w:bCs/>
          <w:sz w:val="28"/>
          <w:szCs w:val="28"/>
        </w:rPr>
        <w:t xml:space="preserve">г. № </w:t>
      </w:r>
      <w:r w:rsidR="00F72571">
        <w:rPr>
          <w:bCs/>
          <w:sz w:val="28"/>
          <w:szCs w:val="28"/>
        </w:rPr>
        <w:t>832</w:t>
      </w:r>
      <w:r w:rsidRPr="003B20F3">
        <w:rPr>
          <w:bCs/>
          <w:sz w:val="28"/>
          <w:szCs w:val="28"/>
        </w:rPr>
        <w:t xml:space="preserve"> </w:t>
      </w:r>
    </w:p>
    <w:p w14:paraId="490BB18F" w14:textId="77777777" w:rsidR="003B20F3" w:rsidRPr="000262A9" w:rsidRDefault="003B20F3" w:rsidP="003B20F3">
      <w:pPr>
        <w:ind w:firstLine="567"/>
        <w:jc w:val="right"/>
        <w:rPr>
          <w:bCs/>
          <w:sz w:val="28"/>
          <w:szCs w:val="28"/>
        </w:rPr>
      </w:pPr>
    </w:p>
    <w:p w14:paraId="2CFAFE70" w14:textId="77777777" w:rsidR="007C4918" w:rsidRDefault="007C4918" w:rsidP="007C4918">
      <w:pPr>
        <w:jc w:val="both"/>
        <w:rPr>
          <w:sz w:val="28"/>
          <w:szCs w:val="28"/>
        </w:rPr>
      </w:pPr>
    </w:p>
    <w:p w14:paraId="33FFD306" w14:textId="77777777" w:rsidR="007C4918" w:rsidRDefault="007C4918" w:rsidP="007C491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14:paraId="784F59D4" w14:textId="0D64FA5D" w:rsidR="007C4918" w:rsidRDefault="007C4918" w:rsidP="007C491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5F1625">
        <w:rPr>
          <w:rFonts w:eastAsia="Calibri"/>
          <w:b/>
          <w:sz w:val="28"/>
          <w:szCs w:val="28"/>
          <w:lang w:eastAsia="en-US"/>
        </w:rPr>
        <w:t>земель</w:t>
      </w:r>
      <w:r>
        <w:rPr>
          <w:rFonts w:eastAsia="Calibri"/>
          <w:b/>
          <w:sz w:val="28"/>
          <w:szCs w:val="28"/>
          <w:lang w:eastAsia="en-US"/>
        </w:rPr>
        <w:t>ного контроля на территории Грибановского муниципального района                           Воронежской области</w:t>
      </w:r>
    </w:p>
    <w:p w14:paraId="17361341" w14:textId="77777777" w:rsidR="007C4918" w:rsidRPr="003F374D" w:rsidRDefault="007C4918" w:rsidP="007C4918">
      <w:pPr>
        <w:jc w:val="center"/>
        <w:rPr>
          <w:rFonts w:eastAsia="Calibri"/>
          <w:i/>
          <w:sz w:val="28"/>
          <w:szCs w:val="28"/>
          <w:lang w:eastAsia="en-US"/>
        </w:rPr>
      </w:pPr>
    </w:p>
    <w:p w14:paraId="108D5432" w14:textId="77777777" w:rsidR="007C4918" w:rsidRDefault="007C4918" w:rsidP="007C491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8E3C2C1" w14:textId="4638426D" w:rsidR="007C4918" w:rsidRPr="009C3C70" w:rsidRDefault="007C4918" w:rsidP="007C49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5F1625">
        <w:rPr>
          <w:rFonts w:eastAsia="Calibri"/>
          <w:sz w:val="28"/>
          <w:szCs w:val="28"/>
          <w:lang w:eastAsia="en-US"/>
        </w:rPr>
        <w:t>земель</w:t>
      </w:r>
      <w:r>
        <w:rPr>
          <w:rFonts w:eastAsia="Calibri"/>
          <w:sz w:val="28"/>
          <w:szCs w:val="28"/>
          <w:lang w:eastAsia="en-US"/>
        </w:rPr>
        <w:t>ного контроля на территории Грибановского муниципального района Воронежской области (д</w:t>
      </w:r>
      <w:r w:rsidRPr="009C3C70">
        <w:rPr>
          <w:rFonts w:eastAsia="Calibri"/>
          <w:sz w:val="28"/>
          <w:szCs w:val="28"/>
          <w:lang w:eastAsia="en-US"/>
        </w:rPr>
        <w:t xml:space="preserve">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5F1625">
        <w:rPr>
          <w:rFonts w:eastAsia="Calibri"/>
          <w:sz w:val="28"/>
          <w:szCs w:val="28"/>
          <w:lang w:eastAsia="en-US"/>
        </w:rPr>
        <w:t>земель</w:t>
      </w:r>
      <w:r w:rsidRPr="009C3C70">
        <w:rPr>
          <w:rFonts w:eastAsia="Calibri"/>
          <w:sz w:val="28"/>
          <w:szCs w:val="28"/>
          <w:lang w:eastAsia="en-US"/>
        </w:rPr>
        <w:t>ного контроля на территории Грибановского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C3C70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14:paraId="74B32F9D" w14:textId="77777777" w:rsidR="007C4918" w:rsidRPr="009C3C70" w:rsidRDefault="007C4918" w:rsidP="007C491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936A182" w14:textId="0809F036" w:rsidR="007C4918" w:rsidRDefault="007C4918" w:rsidP="007C4918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</w:t>
      </w:r>
      <w:r w:rsidR="005F1625">
        <w:rPr>
          <w:rFonts w:eastAsia="Calibri"/>
          <w:b/>
          <w:sz w:val="28"/>
          <w:szCs w:val="28"/>
          <w:lang w:eastAsia="en-US"/>
        </w:rPr>
        <w:t>земель</w:t>
      </w:r>
      <w:r>
        <w:rPr>
          <w:rFonts w:eastAsia="Calibri"/>
          <w:b/>
          <w:sz w:val="28"/>
          <w:szCs w:val="28"/>
          <w:lang w:eastAsia="en-US"/>
        </w:rPr>
        <w:t xml:space="preserve">ного контроля, описание текущего развития профилактической деятельности </w:t>
      </w:r>
      <w:r w:rsidRPr="00EE673C">
        <w:rPr>
          <w:rFonts w:eastAsia="Calibri"/>
          <w:b/>
          <w:sz w:val="28"/>
          <w:szCs w:val="28"/>
          <w:lang w:eastAsia="en-US"/>
        </w:rPr>
        <w:t>контрольного органа,</w:t>
      </w:r>
      <w:r>
        <w:rPr>
          <w:rFonts w:eastAsia="Calibri"/>
          <w:b/>
          <w:sz w:val="28"/>
          <w:szCs w:val="28"/>
          <w:lang w:eastAsia="en-US"/>
        </w:rPr>
        <w:t xml:space="preserve"> характеристика проблем, на решение которых направлена Программа</w:t>
      </w:r>
    </w:p>
    <w:p w14:paraId="5FDEBB49" w14:textId="77777777" w:rsidR="007C4918" w:rsidRDefault="007C4918" w:rsidP="007C4918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7EC3CF29" w14:textId="77777777" w:rsidR="007C4918" w:rsidRPr="00ED29DE" w:rsidRDefault="007C4918" w:rsidP="007C4918">
      <w:pPr>
        <w:ind w:firstLine="709"/>
        <w:jc w:val="both"/>
        <w:rPr>
          <w:sz w:val="28"/>
          <w:szCs w:val="28"/>
        </w:rPr>
      </w:pPr>
      <w:r w:rsidRPr="00ED29DE">
        <w:rPr>
          <w:sz w:val="28"/>
          <w:szCs w:val="28"/>
        </w:rPr>
        <w:t>Настоящая программа разработана в соответствии со</w:t>
      </w:r>
      <w:r w:rsidRPr="00ED29DE">
        <w:rPr>
          <w:color w:val="0000FF"/>
          <w:sz w:val="28"/>
          <w:szCs w:val="28"/>
        </w:rPr>
        <w:t xml:space="preserve"> </w:t>
      </w:r>
      <w:r w:rsidRPr="00ED29DE">
        <w:rPr>
          <w:color w:val="000000"/>
          <w:sz w:val="28"/>
          <w:szCs w:val="28"/>
        </w:rPr>
        <w:t>статьей</w:t>
      </w:r>
      <w:r>
        <w:rPr>
          <w:color w:val="000000"/>
          <w:sz w:val="28"/>
          <w:szCs w:val="28"/>
        </w:rPr>
        <w:t xml:space="preserve">                          </w:t>
      </w:r>
      <w:r w:rsidRPr="00ED29DE">
        <w:rPr>
          <w:color w:val="000000"/>
          <w:sz w:val="28"/>
          <w:szCs w:val="28"/>
        </w:rPr>
        <w:t xml:space="preserve"> 44</w:t>
      </w:r>
      <w:r w:rsidRPr="00ED29DE">
        <w:rPr>
          <w:sz w:val="28"/>
          <w:szCs w:val="28"/>
        </w:rPr>
        <w:t xml:space="preserve"> Федерального закона от 31 июля 2021 г. № 248</w:t>
      </w:r>
      <w:r>
        <w:rPr>
          <w:sz w:val="28"/>
          <w:szCs w:val="28"/>
        </w:rPr>
        <w:t xml:space="preserve"> </w:t>
      </w:r>
      <w:r w:rsidRPr="00ED29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29DE">
        <w:rPr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</w:t>
      </w:r>
      <w:r w:rsidRPr="00ED29DE">
        <w:rPr>
          <w:color w:val="000000"/>
          <w:sz w:val="28"/>
          <w:szCs w:val="28"/>
        </w:rPr>
        <w:t>постановлением</w:t>
      </w:r>
      <w:r w:rsidRPr="00ED29DE">
        <w:rPr>
          <w:sz w:val="28"/>
          <w:szCs w:val="28"/>
        </w:rPr>
        <w:t xml:space="preserve"> Правительства Российской Федерации от 25 июня 2021г. </w:t>
      </w:r>
      <w:r>
        <w:rPr>
          <w:sz w:val="28"/>
          <w:szCs w:val="28"/>
        </w:rPr>
        <w:t xml:space="preserve">              </w:t>
      </w:r>
      <w:r w:rsidRPr="00ED29D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r w:rsidRPr="00ED29DE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Грибановского муниципального ра</w:t>
      </w:r>
      <w:r w:rsidR="00387C1F">
        <w:rPr>
          <w:bCs/>
          <w:sz w:val="28"/>
          <w:szCs w:val="28"/>
        </w:rPr>
        <w:t>йона Воронежской области на 2024</w:t>
      </w:r>
      <w:r w:rsidRPr="00ED29DE">
        <w:rPr>
          <w:bCs/>
          <w:sz w:val="28"/>
          <w:szCs w:val="28"/>
        </w:rPr>
        <w:t xml:space="preserve"> год</w:t>
      </w:r>
      <w:r w:rsidRPr="00ED29DE">
        <w:rPr>
          <w:sz w:val="28"/>
          <w:szCs w:val="28"/>
        </w:rPr>
        <w:t>.</w:t>
      </w:r>
    </w:p>
    <w:p w14:paraId="5375D5E1" w14:textId="3483C97D" w:rsidR="005F1625" w:rsidRPr="005F1625" w:rsidRDefault="005F1625" w:rsidP="005F162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1625">
        <w:rPr>
          <w:sz w:val="28"/>
          <w:szCs w:val="28"/>
        </w:rPr>
        <w:t xml:space="preserve">Предметом муниципального контроля на территории Грибановского муниципального района Воронежской области является соблюдение обязательных требований в сфере земельных отношений и охраны окружающей </w:t>
      </w:r>
      <w:r w:rsidRPr="005F1625">
        <w:rPr>
          <w:sz w:val="28"/>
          <w:szCs w:val="28"/>
        </w:rPr>
        <w:lastRenderedPageBreak/>
        <w:t>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14:paraId="6A9B0409" w14:textId="77777777" w:rsidR="005F1625" w:rsidRPr="005F1625" w:rsidRDefault="005F1625" w:rsidP="005F162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625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14:paraId="57F6AB4E" w14:textId="77777777" w:rsidR="005F1625" w:rsidRPr="005F1625" w:rsidRDefault="005F1625" w:rsidP="005F162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625">
        <w:rPr>
          <w:rFonts w:ascii="Times New Roman" w:hAnsi="Times New Roman"/>
          <w:sz w:val="28"/>
          <w:szCs w:val="28"/>
        </w:rPr>
        <w:t>а)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D16A79A" w14:textId="77777777" w:rsidR="005F1625" w:rsidRPr="005F1625" w:rsidRDefault="005F1625" w:rsidP="005F162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1625">
        <w:rPr>
          <w:rFonts w:ascii="Times New Roman" w:hAnsi="Times New Roman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14:paraId="76C7AD8B" w14:textId="331E9E3E" w:rsidR="00977EBB" w:rsidRPr="000E7BBF" w:rsidRDefault="00B1252D" w:rsidP="005F162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F1625" w:rsidRPr="005F1625">
        <w:rPr>
          <w:rFonts w:ascii="Times New Roman" w:hAnsi="Times New Roman"/>
          <w:sz w:val="28"/>
          <w:szCs w:val="28"/>
        </w:rPr>
        <w:t xml:space="preserve">в) объекты земельных отношений, расположенные в границах Грибановского муниципального района Воронежской </w:t>
      </w:r>
      <w:r w:rsidR="005F1625">
        <w:rPr>
          <w:rFonts w:ascii="Times New Roman" w:hAnsi="Times New Roman"/>
          <w:sz w:val="28"/>
          <w:szCs w:val="28"/>
        </w:rPr>
        <w:t>области.</w:t>
      </w:r>
    </w:p>
    <w:p w14:paraId="5CD717C5" w14:textId="2BB6E2C5" w:rsidR="007C4918" w:rsidRPr="00E243BF" w:rsidRDefault="007C4918" w:rsidP="007C4918">
      <w:pPr>
        <w:jc w:val="both"/>
        <w:rPr>
          <w:sz w:val="28"/>
          <w:szCs w:val="28"/>
        </w:rPr>
      </w:pPr>
      <w:r w:rsidRPr="005F1625">
        <w:rPr>
          <w:sz w:val="28"/>
          <w:szCs w:val="28"/>
        </w:rPr>
        <w:tab/>
      </w:r>
      <w:r>
        <w:rPr>
          <w:sz w:val="28"/>
          <w:szCs w:val="28"/>
        </w:rPr>
        <w:t>В целях профилактики рисков причинения вреда (ущерба) охраняемым законом ценностя</w:t>
      </w:r>
      <w:r w:rsidR="00977EBB">
        <w:rPr>
          <w:sz w:val="28"/>
          <w:szCs w:val="28"/>
        </w:rPr>
        <w:t>м муниципальным контролем в 2023</w:t>
      </w:r>
      <w:r>
        <w:rPr>
          <w:sz w:val="28"/>
          <w:szCs w:val="28"/>
        </w:rPr>
        <w:t xml:space="preserve"> году осуществлялись следующие мероприятия:</w:t>
      </w:r>
    </w:p>
    <w:p w14:paraId="42B7C738" w14:textId="77777777" w:rsidR="007C4918" w:rsidRDefault="007C4918" w:rsidP="007C4918">
      <w:pPr>
        <w:ind w:firstLine="567"/>
        <w:contextualSpacing/>
        <w:jc w:val="both"/>
        <w:rPr>
          <w:sz w:val="28"/>
          <w:szCs w:val="28"/>
        </w:rPr>
      </w:pPr>
      <w:r w:rsidRPr="005F1625">
        <w:rPr>
          <w:sz w:val="28"/>
          <w:szCs w:val="28"/>
        </w:rPr>
        <w:tab/>
      </w:r>
      <w:r>
        <w:rPr>
          <w:sz w:val="28"/>
          <w:szCs w:val="28"/>
        </w:rPr>
        <w:t>- размещение на официальном сайте</w:t>
      </w:r>
      <w:r w:rsidRPr="00B04D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B04D65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sz w:val="28"/>
          <w:szCs w:val="28"/>
        </w:rPr>
        <w:t xml:space="preserve"> актуализированные</w:t>
      </w:r>
      <w:r w:rsidRPr="00153175">
        <w:rPr>
          <w:sz w:val="28"/>
          <w:szCs w:val="28"/>
        </w:rPr>
        <w:t xml:space="preserve">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>
        <w:rPr>
          <w:sz w:val="28"/>
          <w:szCs w:val="28"/>
        </w:rPr>
        <w:t>.</w:t>
      </w:r>
    </w:p>
    <w:p w14:paraId="1F628357" w14:textId="77777777" w:rsidR="007C4918" w:rsidRDefault="007C4918" w:rsidP="007C4918">
      <w:pPr>
        <w:pStyle w:val="ConsPlusNormal"/>
        <w:tabs>
          <w:tab w:val="left" w:pos="550"/>
          <w:tab w:val="left" w:pos="720"/>
          <w:tab w:val="left" w:pos="900"/>
          <w:tab w:val="left" w:pos="144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проведение информационной, разъяснительной и консультационной работы по вопросам соблюдения обязательных требований, требований, установленных муниципальными правовыми актами.</w:t>
      </w:r>
    </w:p>
    <w:p w14:paraId="21556BD6" w14:textId="77777777" w:rsidR="007C4918" w:rsidRDefault="007C4918" w:rsidP="007C4918">
      <w:pPr>
        <w:pStyle w:val="ConsPlusNormal"/>
        <w:tabs>
          <w:tab w:val="left" w:pos="550"/>
          <w:tab w:val="left" w:pos="720"/>
          <w:tab w:val="left" w:pos="900"/>
          <w:tab w:val="left" w:pos="144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516B24D" w14:textId="77777777" w:rsidR="007C4918" w:rsidRPr="005B5E69" w:rsidRDefault="007C4918" w:rsidP="007C491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14:paraId="32C331B4" w14:textId="77777777" w:rsidR="007C4918" w:rsidRPr="0011444C" w:rsidRDefault="007C4918" w:rsidP="007C491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0556984B" w14:textId="77777777" w:rsidR="007C4918" w:rsidRDefault="007C4918" w:rsidP="007C49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14:paraId="661D16D0" w14:textId="77777777" w:rsidR="007C4918" w:rsidRPr="008154C2" w:rsidRDefault="007C4918" w:rsidP="007C491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50111CB" w14:textId="77777777" w:rsidR="007C4918" w:rsidRPr="008154C2" w:rsidRDefault="007C4918" w:rsidP="007C491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14:paraId="15143F43" w14:textId="77777777" w:rsidR="007C4918" w:rsidRPr="0003570A" w:rsidRDefault="007C4918" w:rsidP="007C491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CBAEC1" w14:textId="77777777" w:rsidR="007C4918" w:rsidRDefault="007C4918" w:rsidP="007C49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14:paraId="54FBEB8B" w14:textId="1D7E4A95" w:rsidR="007C4918" w:rsidRDefault="007C4918" w:rsidP="007C491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14:paraId="5F880DA2" w14:textId="77777777" w:rsidR="007C4918" w:rsidRPr="00620EF4" w:rsidRDefault="007C4918" w:rsidP="007C4918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оценка возможной угрозы причинения, либо причинения вреда жизни, здоровья граждан, выработка и реализация профилактических мер, способствующих ее снижению;</w:t>
      </w:r>
    </w:p>
    <w:p w14:paraId="017FED67" w14:textId="77777777" w:rsidR="007C4918" w:rsidRPr="00431A76" w:rsidRDefault="007C4918" w:rsidP="007C491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EF4">
        <w:rPr>
          <w:rFonts w:eastAsia="Calibri"/>
          <w:sz w:val="28"/>
          <w:szCs w:val="28"/>
        </w:rPr>
        <w:t xml:space="preserve">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</w:t>
      </w:r>
      <w:r>
        <w:rPr>
          <w:rFonts w:eastAsia="Calibri"/>
          <w:sz w:val="28"/>
          <w:szCs w:val="28"/>
        </w:rPr>
        <w:t>бходимых мерах по их исполнению.</w:t>
      </w:r>
    </w:p>
    <w:p w14:paraId="23C32AF6" w14:textId="77777777" w:rsidR="007C4918" w:rsidRDefault="007C4918" w:rsidP="007C4918">
      <w:pPr>
        <w:rPr>
          <w:b/>
          <w:bCs/>
          <w:sz w:val="28"/>
          <w:szCs w:val="28"/>
          <w:highlight w:val="green"/>
        </w:rPr>
      </w:pPr>
    </w:p>
    <w:p w14:paraId="1153EF18" w14:textId="77777777" w:rsidR="007C4918" w:rsidRPr="0081409C" w:rsidRDefault="007C4918" w:rsidP="007C491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14:paraId="5C0834E3" w14:textId="77777777" w:rsidR="007C4918" w:rsidRDefault="007C4918" w:rsidP="007C491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14:paraId="41E1BD65" w14:textId="77777777" w:rsidR="007C4918" w:rsidRPr="0015509B" w:rsidRDefault="007C4918" w:rsidP="007C4918">
      <w:pPr>
        <w:ind w:firstLine="567"/>
        <w:jc w:val="center"/>
        <w:rPr>
          <w:b/>
          <w:bCs/>
          <w:sz w:val="28"/>
          <w:szCs w:val="28"/>
        </w:rPr>
      </w:pPr>
    </w:p>
    <w:p w14:paraId="0C2BB472" w14:textId="77777777" w:rsidR="007C4918" w:rsidRPr="003C6F10" w:rsidRDefault="007C4918" w:rsidP="007C4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14:paraId="03B62A59" w14:textId="77777777" w:rsidR="007C4918" w:rsidRPr="001071ED" w:rsidRDefault="007C4918" w:rsidP="007C4918">
      <w:pPr>
        <w:ind w:firstLine="567"/>
        <w:jc w:val="both"/>
        <w:rPr>
          <w:sz w:val="28"/>
          <w:szCs w:val="28"/>
        </w:rPr>
      </w:pPr>
      <w:r w:rsidRPr="001071ED">
        <w:rPr>
          <w:sz w:val="28"/>
          <w:szCs w:val="28"/>
        </w:rPr>
        <w:t>а) информирование;</w:t>
      </w:r>
    </w:p>
    <w:p w14:paraId="7E833CE5" w14:textId="77777777" w:rsidR="007C4918" w:rsidRPr="001071ED" w:rsidRDefault="007C4918" w:rsidP="007C4918">
      <w:pPr>
        <w:ind w:firstLine="567"/>
        <w:jc w:val="both"/>
        <w:rPr>
          <w:sz w:val="28"/>
          <w:szCs w:val="28"/>
        </w:rPr>
      </w:pPr>
      <w:r w:rsidRPr="001071ED">
        <w:rPr>
          <w:sz w:val="28"/>
          <w:szCs w:val="28"/>
        </w:rPr>
        <w:t xml:space="preserve">б) обобщение правоприменительной практики; </w:t>
      </w:r>
    </w:p>
    <w:p w14:paraId="0BC40F9C" w14:textId="77777777" w:rsidR="007C4918" w:rsidRPr="001071ED" w:rsidRDefault="007C4918" w:rsidP="007C4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консультирование.</w:t>
      </w:r>
    </w:p>
    <w:p w14:paraId="7B97953B" w14:textId="77777777" w:rsidR="007C4918" w:rsidRPr="00E7270A" w:rsidRDefault="007C4918" w:rsidP="007C4918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</w:t>
      </w:r>
      <w:r>
        <w:rPr>
          <w:sz w:val="28"/>
          <w:szCs w:val="28"/>
        </w:rPr>
        <w:t>П</w:t>
      </w:r>
      <w:r w:rsidRPr="00E7270A">
        <w:rPr>
          <w:sz w:val="28"/>
          <w:szCs w:val="28"/>
        </w:rPr>
        <w:t>риложении</w:t>
      </w:r>
      <w:r>
        <w:rPr>
          <w:sz w:val="28"/>
          <w:szCs w:val="28"/>
        </w:rPr>
        <w:t xml:space="preserve"> № 1</w:t>
      </w:r>
      <w:r w:rsidRPr="00E7270A">
        <w:rPr>
          <w:sz w:val="28"/>
          <w:szCs w:val="28"/>
        </w:rPr>
        <w:t xml:space="preserve"> к Программе.</w:t>
      </w:r>
    </w:p>
    <w:p w14:paraId="0144F62B" w14:textId="77777777" w:rsidR="007C4918" w:rsidRPr="00E7270A" w:rsidRDefault="007C4918" w:rsidP="007C4918">
      <w:pPr>
        <w:ind w:firstLine="567"/>
        <w:jc w:val="both"/>
        <w:rPr>
          <w:i/>
          <w:sz w:val="28"/>
          <w:szCs w:val="28"/>
        </w:rPr>
      </w:pPr>
    </w:p>
    <w:p w14:paraId="4DA47B4E" w14:textId="77777777" w:rsidR="007C4918" w:rsidRDefault="007C4918" w:rsidP="007C49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3A1B3535" w14:textId="77777777" w:rsidR="007C4918" w:rsidRDefault="007C4918" w:rsidP="007C4918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2"/>
        <w:gridCol w:w="3190"/>
      </w:tblGrid>
      <w:tr w:rsidR="007C4918" w:rsidRPr="00AC1568" w14:paraId="11FE6FE8" w14:textId="77777777" w:rsidTr="007A2980">
        <w:tc>
          <w:tcPr>
            <w:tcW w:w="817" w:type="dxa"/>
          </w:tcPr>
          <w:p w14:paraId="40D4F757" w14:textId="77777777" w:rsidR="007C4918" w:rsidRPr="00AC1568" w:rsidRDefault="007C4918" w:rsidP="007A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62" w:type="dxa"/>
          </w:tcPr>
          <w:p w14:paraId="45218A37" w14:textId="77777777" w:rsidR="007C4918" w:rsidRPr="00AC1568" w:rsidRDefault="007C4918" w:rsidP="007A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</w:tcPr>
          <w:p w14:paraId="32C03001" w14:textId="77777777" w:rsidR="007C4918" w:rsidRPr="00AC1568" w:rsidRDefault="007C4918" w:rsidP="007A29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Величина</w:t>
            </w:r>
          </w:p>
        </w:tc>
      </w:tr>
      <w:tr w:rsidR="007C4918" w:rsidRPr="00AC1568" w14:paraId="162F77AE" w14:textId="77777777" w:rsidTr="007A2980">
        <w:tc>
          <w:tcPr>
            <w:tcW w:w="817" w:type="dxa"/>
          </w:tcPr>
          <w:p w14:paraId="6917CD14" w14:textId="77777777" w:rsidR="007C4918" w:rsidRPr="00AC1568" w:rsidRDefault="007C4918" w:rsidP="007A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62" w:type="dxa"/>
          </w:tcPr>
          <w:p w14:paraId="51236223" w14:textId="77777777" w:rsidR="007C4918" w:rsidRPr="00AC1568" w:rsidRDefault="007C4918" w:rsidP="007A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sz w:val="28"/>
                <w:szCs w:val="28"/>
              </w:rPr>
              <w:t>Полнота информации, размещенной на официальном сайте администрации Грибановского муниципального района Воронежской области  в соответствии со  статьей 46 Федерального закона №248-ФЗ</w:t>
            </w:r>
          </w:p>
        </w:tc>
        <w:tc>
          <w:tcPr>
            <w:tcW w:w="3190" w:type="dxa"/>
          </w:tcPr>
          <w:p w14:paraId="5578CBCE" w14:textId="77777777" w:rsidR="007C4918" w:rsidRPr="00AC1568" w:rsidRDefault="007C4918" w:rsidP="007A29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  <w:tr w:rsidR="007C4918" w:rsidRPr="00AC1568" w14:paraId="5A5B9DEF" w14:textId="77777777" w:rsidTr="007A2980">
        <w:tc>
          <w:tcPr>
            <w:tcW w:w="817" w:type="dxa"/>
          </w:tcPr>
          <w:p w14:paraId="360EF985" w14:textId="77777777" w:rsidR="007C4918" w:rsidRPr="00AC1568" w:rsidRDefault="007C4918" w:rsidP="007A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62" w:type="dxa"/>
          </w:tcPr>
          <w:p w14:paraId="77873CB4" w14:textId="77777777" w:rsidR="007C4918" w:rsidRPr="00AC1568" w:rsidRDefault="007C4918" w:rsidP="007A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90" w:type="dxa"/>
          </w:tcPr>
          <w:p w14:paraId="1A30B9FB" w14:textId="77777777" w:rsidR="007C4918" w:rsidRPr="00AC1568" w:rsidRDefault="007C4918" w:rsidP="007A29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100 % от числа обратившихся</w:t>
            </w:r>
          </w:p>
        </w:tc>
      </w:tr>
      <w:tr w:rsidR="007C4918" w:rsidRPr="00AC1568" w14:paraId="7D040039" w14:textId="77777777" w:rsidTr="007A2980">
        <w:tc>
          <w:tcPr>
            <w:tcW w:w="817" w:type="dxa"/>
          </w:tcPr>
          <w:p w14:paraId="07C6CC2B" w14:textId="77777777" w:rsidR="007C4918" w:rsidRPr="00AC1568" w:rsidRDefault="007C4918" w:rsidP="007A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62" w:type="dxa"/>
          </w:tcPr>
          <w:p w14:paraId="70934823" w14:textId="77777777" w:rsidR="007C4918" w:rsidRPr="00AC1568" w:rsidRDefault="007C4918" w:rsidP="007A29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90" w:type="dxa"/>
          </w:tcPr>
          <w:p w14:paraId="5D436199" w14:textId="77777777" w:rsidR="007C4918" w:rsidRPr="00AC1568" w:rsidRDefault="007C4918" w:rsidP="007A29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1568">
              <w:rPr>
                <w:rFonts w:eastAsia="Calibri"/>
                <w:sz w:val="28"/>
                <w:szCs w:val="28"/>
                <w:lang w:eastAsia="en-US"/>
              </w:rPr>
              <w:t>Не менее 10 мероприятий проведенных контрольным органом</w:t>
            </w:r>
          </w:p>
        </w:tc>
      </w:tr>
    </w:tbl>
    <w:p w14:paraId="1D897C27" w14:textId="77777777" w:rsidR="007C4918" w:rsidRDefault="007C4918" w:rsidP="007C491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6C97F2" w14:textId="77777777" w:rsidR="007C4918" w:rsidRDefault="007C4918" w:rsidP="007C491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70DE618" w14:textId="77777777" w:rsidR="00897FFA" w:rsidRDefault="00897FFA" w:rsidP="007C4918">
      <w:pPr>
        <w:jc w:val="both"/>
        <w:rPr>
          <w:b/>
          <w:bCs/>
          <w:sz w:val="28"/>
          <w:szCs w:val="28"/>
        </w:rPr>
        <w:sectPr w:rsidR="00897FFA" w:rsidSect="004D59AE">
          <w:pgSz w:w="11906" w:h="16838"/>
          <w:pgMar w:top="964" w:right="851" w:bottom="907" w:left="1418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br w:type="page"/>
      </w:r>
    </w:p>
    <w:p w14:paraId="1B4115FD" w14:textId="77777777" w:rsidR="007C4918" w:rsidRDefault="00897FFA" w:rsidP="00897FFA">
      <w:pPr>
        <w:ind w:right="-342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7C4918">
        <w:rPr>
          <w:bCs/>
          <w:sz w:val="28"/>
          <w:szCs w:val="28"/>
        </w:rPr>
        <w:t>р</w:t>
      </w:r>
      <w:r w:rsidR="007C4918" w:rsidRPr="000262A9">
        <w:rPr>
          <w:bCs/>
          <w:sz w:val="28"/>
          <w:szCs w:val="28"/>
        </w:rPr>
        <w:t>иложение</w:t>
      </w:r>
      <w:r w:rsidR="007C4918">
        <w:rPr>
          <w:bCs/>
          <w:sz w:val="28"/>
          <w:szCs w:val="28"/>
        </w:rPr>
        <w:t xml:space="preserve"> №1 </w:t>
      </w:r>
    </w:p>
    <w:p w14:paraId="2AF55AA3" w14:textId="77777777" w:rsidR="007C4918" w:rsidRDefault="007C4918" w:rsidP="00897FFA">
      <w:pPr>
        <w:ind w:right="-342"/>
        <w:jc w:val="right"/>
        <w:rPr>
          <w:rFonts w:eastAsia="Calibri"/>
          <w:sz w:val="28"/>
          <w:szCs w:val="28"/>
          <w:lang w:eastAsia="en-US"/>
        </w:rPr>
      </w:pPr>
      <w:r w:rsidRPr="00E14FD2">
        <w:rPr>
          <w:rFonts w:eastAsia="Calibri"/>
          <w:sz w:val="28"/>
          <w:szCs w:val="28"/>
          <w:lang w:eastAsia="en-US"/>
        </w:rPr>
        <w:t>к программе профилактики рисков</w:t>
      </w:r>
    </w:p>
    <w:p w14:paraId="21A2DCE2" w14:textId="77777777" w:rsidR="007C4918" w:rsidRDefault="007C4918" w:rsidP="00897FFA">
      <w:pPr>
        <w:ind w:right="-342"/>
        <w:jc w:val="right"/>
        <w:rPr>
          <w:rFonts w:eastAsia="Calibri"/>
          <w:sz w:val="28"/>
          <w:szCs w:val="28"/>
          <w:lang w:eastAsia="en-US"/>
        </w:rPr>
      </w:pPr>
      <w:r w:rsidRPr="00E14FD2">
        <w:rPr>
          <w:rFonts w:eastAsia="Calibri"/>
          <w:sz w:val="28"/>
          <w:szCs w:val="28"/>
          <w:lang w:eastAsia="en-US"/>
        </w:rPr>
        <w:t xml:space="preserve"> причинения вреда (ущерба) охраняемым </w:t>
      </w:r>
    </w:p>
    <w:p w14:paraId="00009063" w14:textId="77777777" w:rsidR="007C4918" w:rsidRDefault="007C4918" w:rsidP="00897FFA">
      <w:pPr>
        <w:ind w:right="-342"/>
        <w:jc w:val="right"/>
        <w:rPr>
          <w:rFonts w:eastAsia="Calibri"/>
          <w:sz w:val="28"/>
          <w:szCs w:val="28"/>
          <w:lang w:eastAsia="en-US"/>
        </w:rPr>
      </w:pPr>
      <w:r w:rsidRPr="00E14FD2">
        <w:rPr>
          <w:rFonts w:eastAsia="Calibri"/>
          <w:sz w:val="28"/>
          <w:szCs w:val="28"/>
          <w:lang w:eastAsia="en-US"/>
        </w:rPr>
        <w:t xml:space="preserve">законом ценностям при осуществлении </w:t>
      </w:r>
    </w:p>
    <w:p w14:paraId="30AFE7FA" w14:textId="17B265AF" w:rsidR="007C4918" w:rsidRDefault="007C4918" w:rsidP="00897FFA">
      <w:pPr>
        <w:ind w:right="-342"/>
        <w:jc w:val="right"/>
        <w:rPr>
          <w:rFonts w:eastAsia="Calibri"/>
          <w:sz w:val="28"/>
          <w:szCs w:val="28"/>
          <w:lang w:eastAsia="en-US"/>
        </w:rPr>
      </w:pPr>
      <w:r w:rsidRPr="00E14FD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5F1625">
        <w:rPr>
          <w:rFonts w:eastAsia="Calibri"/>
          <w:sz w:val="28"/>
          <w:szCs w:val="28"/>
          <w:lang w:eastAsia="en-US"/>
        </w:rPr>
        <w:t>земель</w:t>
      </w:r>
      <w:r w:rsidRPr="00E14FD2">
        <w:rPr>
          <w:rFonts w:eastAsia="Calibri"/>
          <w:sz w:val="28"/>
          <w:szCs w:val="28"/>
          <w:lang w:eastAsia="en-US"/>
        </w:rPr>
        <w:t>ного 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14FD2">
        <w:rPr>
          <w:rFonts w:eastAsia="Calibri"/>
          <w:sz w:val="28"/>
          <w:szCs w:val="28"/>
          <w:lang w:eastAsia="en-US"/>
        </w:rPr>
        <w:t xml:space="preserve"> на территории</w:t>
      </w:r>
    </w:p>
    <w:p w14:paraId="67633CA2" w14:textId="77777777" w:rsidR="007C4918" w:rsidRDefault="007C4918" w:rsidP="00897FFA">
      <w:pPr>
        <w:ind w:right="-342"/>
        <w:jc w:val="right"/>
        <w:rPr>
          <w:rFonts w:eastAsia="Calibri"/>
          <w:sz w:val="28"/>
          <w:szCs w:val="28"/>
          <w:lang w:eastAsia="en-US"/>
        </w:rPr>
      </w:pPr>
      <w:r w:rsidRPr="00E14FD2">
        <w:rPr>
          <w:rFonts w:eastAsia="Calibri"/>
          <w:sz w:val="28"/>
          <w:szCs w:val="28"/>
          <w:lang w:eastAsia="en-US"/>
        </w:rPr>
        <w:t xml:space="preserve">Грибановского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14FD2">
        <w:rPr>
          <w:rFonts w:eastAsia="Calibri"/>
          <w:sz w:val="28"/>
          <w:szCs w:val="28"/>
          <w:lang w:eastAsia="en-US"/>
        </w:rPr>
        <w:t>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14:paraId="651A002C" w14:textId="77777777" w:rsidR="007C4918" w:rsidRDefault="007C4918" w:rsidP="00897FFA">
      <w:pPr>
        <w:ind w:right="-3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E14FD2">
        <w:rPr>
          <w:rFonts w:eastAsia="Calibri"/>
          <w:sz w:val="28"/>
          <w:szCs w:val="28"/>
          <w:lang w:eastAsia="en-US"/>
        </w:rPr>
        <w:t>Воронежской области</w:t>
      </w:r>
    </w:p>
    <w:p w14:paraId="31857259" w14:textId="77777777" w:rsidR="00897FFA" w:rsidRDefault="00897FFA" w:rsidP="007C4918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862"/>
        <w:gridCol w:w="2932"/>
        <w:gridCol w:w="5474"/>
        <w:gridCol w:w="3197"/>
        <w:gridCol w:w="3007"/>
      </w:tblGrid>
      <w:tr w:rsidR="00897FFA" w:rsidRPr="00952124" w14:paraId="1286D6EF" w14:textId="77777777" w:rsidTr="00897FFA">
        <w:trPr>
          <w:trHeight w:val="144"/>
        </w:trPr>
        <w:tc>
          <w:tcPr>
            <w:tcW w:w="862" w:type="dxa"/>
          </w:tcPr>
          <w:p w14:paraId="67809C6B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2" w:type="dxa"/>
          </w:tcPr>
          <w:p w14:paraId="4BFD97C7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74" w:type="dxa"/>
          </w:tcPr>
          <w:p w14:paraId="5AB47E24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3197" w:type="dxa"/>
          </w:tcPr>
          <w:p w14:paraId="5958048B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 мероприятия</w:t>
            </w:r>
          </w:p>
        </w:tc>
        <w:tc>
          <w:tcPr>
            <w:tcW w:w="3007" w:type="dxa"/>
          </w:tcPr>
          <w:p w14:paraId="20B31DB1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должностные лица </w:t>
            </w:r>
          </w:p>
        </w:tc>
      </w:tr>
      <w:tr w:rsidR="00897FFA" w:rsidRPr="00952124" w14:paraId="1702A011" w14:textId="77777777" w:rsidTr="00897FFA">
        <w:trPr>
          <w:trHeight w:val="144"/>
        </w:trPr>
        <w:tc>
          <w:tcPr>
            <w:tcW w:w="862" w:type="dxa"/>
            <w:vMerge w:val="restart"/>
          </w:tcPr>
          <w:p w14:paraId="59F05B2D" w14:textId="77777777" w:rsid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6AAB5" w14:textId="77777777" w:rsid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FC808" w14:textId="77777777" w:rsid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9B27F" w14:textId="77777777" w:rsid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198EF" w14:textId="77777777" w:rsid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5111F" w14:textId="77777777" w:rsid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E9553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935A6F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vMerge w:val="restart"/>
          </w:tcPr>
          <w:p w14:paraId="65013787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C22C3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E8230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51BEA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CCDDB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208F8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F1E10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10AFB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F762" w14:textId="77777777" w:rsid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526EC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474" w:type="dxa"/>
          </w:tcPr>
          <w:p w14:paraId="1212FEAC" w14:textId="383A64AD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</w:t>
            </w:r>
            <w:r w:rsidR="00B1252D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ного контроля</w:t>
            </w:r>
          </w:p>
        </w:tc>
        <w:tc>
          <w:tcPr>
            <w:tcW w:w="3197" w:type="dxa"/>
          </w:tcPr>
          <w:p w14:paraId="7DC0D9FF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</w:tcPr>
          <w:p w14:paraId="6A77F519" w14:textId="4956D5E2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 отдела п</w:t>
            </w:r>
            <w:r w:rsidR="005F1625">
              <w:rPr>
                <w:rFonts w:ascii="Times New Roman" w:hAnsi="Times New Roman" w:cs="Times New Roman"/>
                <w:sz w:val="28"/>
                <w:szCs w:val="28"/>
              </w:rPr>
              <w:t>о развитию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Грибановского муниципального района </w:t>
            </w:r>
          </w:p>
        </w:tc>
      </w:tr>
      <w:tr w:rsidR="00897FFA" w:rsidRPr="00952124" w14:paraId="7C655CF4" w14:textId="77777777" w:rsidTr="00897FFA">
        <w:trPr>
          <w:trHeight w:val="144"/>
        </w:trPr>
        <w:tc>
          <w:tcPr>
            <w:tcW w:w="862" w:type="dxa"/>
            <w:vMerge/>
          </w:tcPr>
          <w:p w14:paraId="5AC379CD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</w:tcPr>
          <w:p w14:paraId="18248E35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14:paraId="4D704DD6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7" w:type="dxa"/>
          </w:tcPr>
          <w:p w14:paraId="6866E8A0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3007" w:type="dxa"/>
          </w:tcPr>
          <w:p w14:paraId="4EF732D1" w14:textId="5468485E" w:rsidR="00897FFA" w:rsidRPr="00897FFA" w:rsidRDefault="005F1625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F1625">
              <w:rPr>
                <w:rFonts w:ascii="Times New Roman" w:hAnsi="Times New Roman" w:cs="Times New Roman"/>
                <w:sz w:val="28"/>
                <w:szCs w:val="28"/>
              </w:rPr>
              <w:t>Главный специалист  отдела по развитию сельских территорий администрации Грибановского муниципального района</w:t>
            </w:r>
          </w:p>
        </w:tc>
      </w:tr>
      <w:tr w:rsidR="00897FFA" w:rsidRPr="00952124" w14:paraId="77D239BB" w14:textId="77777777" w:rsidTr="00897FFA">
        <w:trPr>
          <w:trHeight w:val="144"/>
        </w:trPr>
        <w:tc>
          <w:tcPr>
            <w:tcW w:w="862" w:type="dxa"/>
            <w:vMerge/>
          </w:tcPr>
          <w:p w14:paraId="57AC0575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</w:tcPr>
          <w:p w14:paraId="7D5A4D6A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14:paraId="0C58DBA4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3197" w:type="dxa"/>
          </w:tcPr>
          <w:p w14:paraId="47EEC711" w14:textId="1F2963C1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Не позднее 20 декабря 202</w:t>
            </w:r>
            <w:r w:rsidR="00B06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7" w:type="dxa"/>
          </w:tcPr>
          <w:p w14:paraId="2E57C2A0" w14:textId="10F6699B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отдела по </w:t>
            </w:r>
            <w:r w:rsidR="005F1625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сельских </w:t>
            </w:r>
            <w:r w:rsidR="004D1F6E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Грибановского муниципального района</w:t>
            </w:r>
          </w:p>
        </w:tc>
      </w:tr>
      <w:tr w:rsidR="00897FFA" w:rsidRPr="00952124" w14:paraId="4425ABAA" w14:textId="77777777" w:rsidTr="00897FFA">
        <w:trPr>
          <w:trHeight w:val="144"/>
        </w:trPr>
        <w:tc>
          <w:tcPr>
            <w:tcW w:w="862" w:type="dxa"/>
          </w:tcPr>
          <w:p w14:paraId="56FDB152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32" w:type="dxa"/>
          </w:tcPr>
          <w:p w14:paraId="5D887054" w14:textId="77777777" w:rsidR="00897FFA" w:rsidRPr="00897FFA" w:rsidRDefault="00897FFA" w:rsidP="00AE69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474" w:type="dxa"/>
          </w:tcPr>
          <w:p w14:paraId="564A22AD" w14:textId="77777777" w:rsidR="00897FFA" w:rsidRPr="00897FFA" w:rsidRDefault="00897FFA" w:rsidP="00AE69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3197" w:type="dxa"/>
          </w:tcPr>
          <w:p w14:paraId="752130B8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3007" w:type="dxa"/>
          </w:tcPr>
          <w:p w14:paraId="1556F5F0" w14:textId="182181DA" w:rsidR="00897FFA" w:rsidRPr="00897FFA" w:rsidRDefault="00897FFA" w:rsidP="00016E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отдела по </w:t>
            </w:r>
            <w:r w:rsidR="004D1F6E">
              <w:rPr>
                <w:rFonts w:ascii="Times New Roman" w:hAnsi="Times New Roman" w:cs="Times New Roman"/>
                <w:sz w:val="28"/>
                <w:szCs w:val="28"/>
              </w:rPr>
              <w:t>развитию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Грибановского муниципального района</w:t>
            </w:r>
          </w:p>
        </w:tc>
      </w:tr>
      <w:tr w:rsidR="00897FFA" w:rsidRPr="00952124" w14:paraId="19993C0D" w14:textId="77777777" w:rsidTr="00897FFA">
        <w:trPr>
          <w:trHeight w:val="144"/>
        </w:trPr>
        <w:tc>
          <w:tcPr>
            <w:tcW w:w="862" w:type="dxa"/>
          </w:tcPr>
          <w:p w14:paraId="74376A6D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2" w:type="dxa"/>
          </w:tcPr>
          <w:p w14:paraId="0CFAD75B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474" w:type="dxa"/>
          </w:tcPr>
          <w:p w14:paraId="0E246600" w14:textId="77777777" w:rsidR="00897FFA" w:rsidRPr="00897FFA" w:rsidRDefault="00897FFA" w:rsidP="00897F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3197" w:type="dxa"/>
          </w:tcPr>
          <w:p w14:paraId="2569BA5C" w14:textId="77777777" w:rsidR="00897FFA" w:rsidRPr="00897FFA" w:rsidRDefault="00897FFA" w:rsidP="00897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января </w:t>
            </w: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7F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07" w:type="dxa"/>
          </w:tcPr>
          <w:p w14:paraId="641F2347" w14:textId="6B918558" w:rsidR="00897FFA" w:rsidRPr="00897FFA" w:rsidRDefault="00897FFA" w:rsidP="00016E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отдела по </w:t>
            </w:r>
            <w:r w:rsidR="004D1F6E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proofErr w:type="gramStart"/>
            <w:r w:rsidR="004D1F6E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="004D1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F6E">
              <w:rPr>
                <w:rFonts w:ascii="Times New Roman" w:hAnsi="Times New Roman" w:cs="Times New Roman"/>
                <w:sz w:val="28"/>
                <w:szCs w:val="28"/>
              </w:rPr>
              <w:t>территрий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Грибановского муниципального района</w:t>
            </w:r>
          </w:p>
        </w:tc>
      </w:tr>
    </w:tbl>
    <w:p w14:paraId="26A18FB9" w14:textId="77777777" w:rsidR="00897FFA" w:rsidRDefault="00897FFA" w:rsidP="00A7455C">
      <w:pPr>
        <w:pStyle w:val="a8"/>
        <w:jc w:val="both"/>
        <w:rPr>
          <w:rFonts w:ascii="Times New Roman" w:hAnsi="Times New Roman" w:cs="Times New Roman"/>
          <w:sz w:val="24"/>
          <w:szCs w:val="24"/>
        </w:rPr>
        <w:sectPr w:rsidR="00897FFA" w:rsidSect="00897FFA">
          <w:pgSz w:w="16838" w:h="11906" w:orient="landscape"/>
          <w:pgMar w:top="1418" w:right="964" w:bottom="851" w:left="907" w:header="709" w:footer="709" w:gutter="0"/>
          <w:cols w:space="708"/>
          <w:docGrid w:linePitch="360"/>
        </w:sectPr>
      </w:pPr>
    </w:p>
    <w:p w14:paraId="220A6A94" w14:textId="77777777" w:rsidR="00897FFA" w:rsidRDefault="00897FFA" w:rsidP="00971AFE">
      <w:pPr>
        <w:rPr>
          <w:rFonts w:eastAsia="Calibri"/>
          <w:sz w:val="28"/>
          <w:szCs w:val="28"/>
          <w:lang w:eastAsia="en-US"/>
        </w:rPr>
      </w:pPr>
    </w:p>
    <w:sectPr w:rsidR="00897FFA" w:rsidSect="00897FFA">
      <w:pgSz w:w="11906" w:h="16838"/>
      <w:pgMar w:top="96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1181A"/>
    <w:rsid w:val="00016E89"/>
    <w:rsid w:val="00075C0C"/>
    <w:rsid w:val="000A5E19"/>
    <w:rsid w:val="000C2B02"/>
    <w:rsid w:val="000C7C34"/>
    <w:rsid w:val="000E1F81"/>
    <w:rsid w:val="000E4F67"/>
    <w:rsid w:val="00151CA0"/>
    <w:rsid w:val="00152C5D"/>
    <w:rsid w:val="00195EA4"/>
    <w:rsid w:val="00277F8D"/>
    <w:rsid w:val="002A1B8D"/>
    <w:rsid w:val="003221A1"/>
    <w:rsid w:val="00387C1F"/>
    <w:rsid w:val="00394CAF"/>
    <w:rsid w:val="003B20F3"/>
    <w:rsid w:val="00403331"/>
    <w:rsid w:val="00447C90"/>
    <w:rsid w:val="00466041"/>
    <w:rsid w:val="004D1F6E"/>
    <w:rsid w:val="004D59AE"/>
    <w:rsid w:val="004D64A7"/>
    <w:rsid w:val="0055046C"/>
    <w:rsid w:val="005510BF"/>
    <w:rsid w:val="00561A02"/>
    <w:rsid w:val="005A5574"/>
    <w:rsid w:val="005E1EE7"/>
    <w:rsid w:val="005F1625"/>
    <w:rsid w:val="00607570"/>
    <w:rsid w:val="00620F27"/>
    <w:rsid w:val="00640655"/>
    <w:rsid w:val="006D5F2B"/>
    <w:rsid w:val="006E4829"/>
    <w:rsid w:val="00766A18"/>
    <w:rsid w:val="007A79C0"/>
    <w:rsid w:val="007B4027"/>
    <w:rsid w:val="007B655F"/>
    <w:rsid w:val="007C4918"/>
    <w:rsid w:val="00821A5D"/>
    <w:rsid w:val="008439A1"/>
    <w:rsid w:val="0084479E"/>
    <w:rsid w:val="00871C22"/>
    <w:rsid w:val="00897FFA"/>
    <w:rsid w:val="008D3B74"/>
    <w:rsid w:val="008E5E98"/>
    <w:rsid w:val="00971AFE"/>
    <w:rsid w:val="00977EBB"/>
    <w:rsid w:val="009B71C1"/>
    <w:rsid w:val="009D52E9"/>
    <w:rsid w:val="009F4A2B"/>
    <w:rsid w:val="00A13C3A"/>
    <w:rsid w:val="00A2131B"/>
    <w:rsid w:val="00A42F3C"/>
    <w:rsid w:val="00A56D18"/>
    <w:rsid w:val="00A7455C"/>
    <w:rsid w:val="00AB363B"/>
    <w:rsid w:val="00AF3B61"/>
    <w:rsid w:val="00B06D19"/>
    <w:rsid w:val="00B1252D"/>
    <w:rsid w:val="00B167DE"/>
    <w:rsid w:val="00B35650"/>
    <w:rsid w:val="00B4671B"/>
    <w:rsid w:val="00B47740"/>
    <w:rsid w:val="00B553E7"/>
    <w:rsid w:val="00B83C67"/>
    <w:rsid w:val="00B959D7"/>
    <w:rsid w:val="00BC166A"/>
    <w:rsid w:val="00C07060"/>
    <w:rsid w:val="00C14769"/>
    <w:rsid w:val="00C16E3F"/>
    <w:rsid w:val="00C25552"/>
    <w:rsid w:val="00C831AA"/>
    <w:rsid w:val="00C87608"/>
    <w:rsid w:val="00CA4207"/>
    <w:rsid w:val="00D00A4A"/>
    <w:rsid w:val="00D3677F"/>
    <w:rsid w:val="00D61F2F"/>
    <w:rsid w:val="00D64DD3"/>
    <w:rsid w:val="00D96722"/>
    <w:rsid w:val="00DB5946"/>
    <w:rsid w:val="00DE517D"/>
    <w:rsid w:val="00DF6A5B"/>
    <w:rsid w:val="00E440F4"/>
    <w:rsid w:val="00E66FCB"/>
    <w:rsid w:val="00ED71F1"/>
    <w:rsid w:val="00EF231F"/>
    <w:rsid w:val="00F10E42"/>
    <w:rsid w:val="00F338B7"/>
    <w:rsid w:val="00F5148E"/>
    <w:rsid w:val="00F72571"/>
    <w:rsid w:val="00F7601C"/>
    <w:rsid w:val="00FC6007"/>
    <w:rsid w:val="00FE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4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0F3"/>
    <w:pPr>
      <w:keepNext/>
      <w:widowControl w:val="0"/>
      <w:autoSpaceDE w:val="0"/>
      <w:autoSpaceDN w:val="0"/>
      <w:adjustRightInd w:val="0"/>
      <w:spacing w:line="280" w:lineRule="auto"/>
      <w:ind w:firstLine="142"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B20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C4918"/>
    <w:pPr>
      <w:widowControl w:val="0"/>
      <w:autoSpaceDE w:val="0"/>
      <w:autoSpaceDN w:val="0"/>
      <w:adjustRightInd w:val="0"/>
      <w:spacing w:line="280" w:lineRule="auto"/>
      <w:ind w:firstLine="142"/>
      <w:jc w:val="center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C4918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C491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C4918"/>
    <w:rPr>
      <w:rFonts w:ascii="Arial" w:hAnsi="Arial" w:cs="Arial"/>
      <w:sz w:val="20"/>
      <w:szCs w:val="20"/>
      <w:lang w:eastAsia="ar-SA"/>
    </w:rPr>
  </w:style>
  <w:style w:type="paragraph" w:styleId="a6">
    <w:name w:val="List Paragraph"/>
    <w:basedOn w:val="a"/>
    <w:link w:val="a7"/>
    <w:qFormat/>
    <w:rsid w:val="007C49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link w:val="a6"/>
    <w:locked/>
    <w:rsid w:val="007C4918"/>
    <w:rPr>
      <w:rFonts w:ascii="Calibri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4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491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49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897FFA"/>
    <w:pPr>
      <w:spacing w:after="0" w:line="240" w:lineRule="auto"/>
    </w:pPr>
    <w:rPr>
      <w:rFonts w:eastAsiaTheme="minorHAnsi"/>
    </w:rPr>
  </w:style>
  <w:style w:type="character" w:customStyle="1" w:styleId="10">
    <w:name w:val="Заголовок 1 Знак"/>
    <w:basedOn w:val="a0"/>
    <w:link w:val="1"/>
    <w:rsid w:val="003B20F3"/>
    <w:rPr>
      <w:rFonts w:ascii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B20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9">
    <w:basedOn w:val="a"/>
    <w:next w:val="aa"/>
    <w:uiPriority w:val="99"/>
    <w:rsid w:val="003B20F3"/>
    <w:pPr>
      <w:spacing w:before="280" w:after="280"/>
    </w:pPr>
    <w:rPr>
      <w:lang w:eastAsia="ar-SA"/>
    </w:rPr>
  </w:style>
  <w:style w:type="character" w:customStyle="1" w:styleId="FontStyle20">
    <w:name w:val="Font Style20"/>
    <w:rsid w:val="003B20F3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3B2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A9A7-F1D0-4F5B-B413-374D6B8A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6</cp:revision>
  <cp:lastPrinted>2023-10-03T12:15:00Z</cp:lastPrinted>
  <dcterms:created xsi:type="dcterms:W3CDTF">2023-12-06T11:14:00Z</dcterms:created>
  <dcterms:modified xsi:type="dcterms:W3CDTF">2023-12-15T06:30:00Z</dcterms:modified>
</cp:coreProperties>
</file>